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メイリオ" w:hAnsi="メイリオ" w:eastAsia="メイリオ" w:cs="Generic1-Regular"/>
          <w:kern w:val="0"/>
          <w:sz w:val="32"/>
          <w:szCs w:val="72"/>
        </w:rPr>
      </w:pPr>
      <w:r>
        <w:rPr>
          <w:rFonts w:hint="eastAsia" w:ascii="游ゴシック" w:hAnsi="游ゴシック" w:eastAsia="游ゴシック" w:cs="Generic1-Regular"/>
          <w:b/>
          <w:kern w:val="0"/>
          <w:sz w:val="32"/>
          <w:szCs w:val="72"/>
        </w:rPr>
        <w:t>沼ノ端交流センター（北栄児童センター）の貸館にかかる利用料金及び　　　　　　　　　　　　　　　　申請に対する審査基準・標準処理期間・利用及び処分基準について</w:t>
      </w:r>
    </w:p>
    <w:p>
      <w:pPr>
        <w:ind w:firstLine="210" w:firstLineChars="100"/>
        <w:rPr>
          <w:rFonts w:cs="Generic1-Regular" w:asciiTheme="minorEastAsia" w:hAnsiTheme="minorEastAsia"/>
          <w:kern w:val="0"/>
          <w:szCs w:val="72"/>
        </w:rPr>
      </w:pPr>
    </w:p>
    <w:p>
      <w:pPr>
        <w:ind w:firstLine="240" w:firstLineChars="1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「苫小牧市沼ノ端交流センター」（以降同センター）は、</w:t>
      </w:r>
      <w:r>
        <w:rPr>
          <w:rFonts w:hint="eastAsia"/>
          <w:sz w:val="24"/>
        </w:rPr>
        <w:t>シダックス大新東ヒューマンサービス株式会社</w:t>
      </w:r>
      <w:r>
        <w:rPr>
          <w:rFonts w:hint="eastAsia" w:ascii="Century" w:hAnsi="Century"/>
          <w:sz w:val="24"/>
        </w:rPr>
        <w:t>が、</w:t>
      </w:r>
      <w:r>
        <w:rPr>
          <w:rFonts w:hint="eastAsia" w:cs="Generic1-Regular" w:asciiTheme="minorEastAsia" w:hAnsiTheme="minorEastAsia"/>
          <w:kern w:val="0"/>
          <w:sz w:val="24"/>
          <w:szCs w:val="72"/>
        </w:rPr>
        <w:t>苫小牧市より指定管理者の選定を受け、管理・運営をしている施設であります。</w:t>
      </w:r>
    </w:p>
    <w:p>
      <w:pPr>
        <w:autoSpaceDE w:val="0"/>
        <w:autoSpaceDN w:val="0"/>
        <w:adjustRightInd w:val="0"/>
        <w:ind w:firstLine="240" w:firstLineChars="100"/>
        <w:jc w:val="left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これにより、苫小牧市沼ノ端交流センター条例の規定に基づき、同センターの使用許可及びその取り消し等に関する業務（第12条）も担っていることから、同センターの貸館につきまして、下記のとおり貸館利用料金及び申請に対する審査基準・標準処理期間・処分基準について明示いたします。</w:t>
      </w:r>
    </w:p>
    <w:p>
      <w:pPr>
        <w:autoSpaceDE w:val="0"/>
        <w:autoSpaceDN w:val="0"/>
        <w:adjustRightInd w:val="0"/>
        <w:ind w:firstLine="240" w:firstLineChars="100"/>
        <w:jc w:val="left"/>
        <w:rPr>
          <w:rFonts w:cs="Generic1-Regular" w:asciiTheme="minorEastAsia" w:hAnsiTheme="minorEastAsia"/>
          <w:kern w:val="0"/>
          <w:sz w:val="24"/>
          <w:szCs w:val="72"/>
        </w:rPr>
      </w:pPr>
    </w:p>
    <w:p>
      <w:pPr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【貸館利用料金】　</w:t>
      </w:r>
      <w:r>
        <w:rPr>
          <w:rFonts w:hint="eastAsia" w:asciiTheme="minorEastAsia" w:hAnsiTheme="minorEastAsia"/>
          <w:sz w:val="22"/>
        </w:rPr>
        <w:t>※ 法的根拠（苫小牧市沼ノ端交流センター条例第5条）</w:t>
      </w:r>
    </w:p>
    <w:tbl>
      <w:tblPr>
        <w:tblStyle w:val="6"/>
        <w:tblW w:w="10727" w:type="dxa"/>
        <w:tblCellSpacing w:w="1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0"/>
        <w:gridCol w:w="1236"/>
        <w:gridCol w:w="1570"/>
        <w:gridCol w:w="1860"/>
        <w:gridCol w:w="1814"/>
        <w:gridCol w:w="200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3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施設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9：00～13：00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13：00～17：00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17：00～21：00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9：00～21：00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北栄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児童センター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遊戯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室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2,000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（1,000円）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2,600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　　（1,300円）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3,000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　　（1,500円）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6,400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　　（3,200円）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調理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室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活動室　　　スタジオ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500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（200円）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650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　　（300円）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750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　　（300円）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1,600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　　（800円）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tblCellSpacing w:w="15" w:type="dxa"/>
        </w:trPr>
        <w:tc>
          <w:tcPr>
            <w:tcW w:w="2195" w:type="dxa"/>
            <w:vAlign w:val="center"/>
          </w:tcPr>
          <w:p>
            <w:pPr>
              <w:widowControl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沼ノ端交流センター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ミーティングルーム（1～4）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700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（300円）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1,000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　　（500円）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1,300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　　（600円）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2,600</w:t>
            </w:r>
            <w:r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円</w:t>
            </w: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　　　　　（1,300円）</w:t>
            </w:r>
          </w:p>
        </w:tc>
      </w:tr>
    </w:tbl>
    <w:p>
      <w:pPr>
        <w:pStyle w:val="10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  <w:color w:val="000000"/>
        </w:rPr>
        <w:t>児童・幼児が活動している時間帯は、利用できない場合もあります。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</w:rPr>
        <w:t>使用料の他に暖房料金が１０月１５日から翌年５月１５日の間かかります。</w:t>
      </w:r>
      <w:r>
        <w:rPr>
          <w:rFonts w:hint="eastAsia"/>
          <w:color w:val="000000"/>
        </w:rPr>
        <w:br w:type="textWrapping"/>
      </w:r>
      <w:r>
        <w:rPr>
          <w:rFonts w:hint="eastAsia"/>
          <w:color w:val="000000"/>
        </w:rPr>
        <w:t>暖房料金は各施設の使用料の２分の１に相当する額（かっこ内の額、１０円未満切り捨て）です。</w:t>
      </w:r>
      <w:r>
        <w:rPr>
          <w:rFonts w:hint="eastAsia"/>
          <w:color w:val="000000"/>
        </w:rPr>
        <w:br w:type="textWrapping"/>
      </w:r>
    </w:p>
    <w:p>
      <w:pPr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【沼ノ端交流センター（北栄児童センター）の貸館申請に対する審査基準・標準処理期間・処分基準】</w:t>
      </w:r>
    </w:p>
    <w:tbl>
      <w:tblPr>
        <w:tblStyle w:val="6"/>
        <w:tblpPr w:leftFromText="142" w:rightFromText="142" w:vertAnchor="text" w:tblpY="1"/>
        <w:tblOverlap w:val="never"/>
        <w:tblW w:w="10972" w:type="dxa"/>
        <w:tblCellSpacing w:w="1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6"/>
        <w:gridCol w:w="1150"/>
        <w:gridCol w:w="4239"/>
        <w:gridCol w:w="1211"/>
        <w:gridCol w:w="169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3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法令名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根拠条項</w:t>
            </w:r>
          </w:p>
        </w:tc>
        <w:tc>
          <w:tcPr>
            <w:tcW w:w="42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許認可等の種類</w:t>
            </w:r>
          </w:p>
        </w:tc>
        <w:tc>
          <w:tcPr>
            <w:tcW w:w="1181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審査基準</w:t>
            </w:r>
          </w:p>
        </w:tc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標準処理期間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tblCellSpacing w:w="15" w:type="dxa"/>
        </w:trPr>
        <w:tc>
          <w:tcPr>
            <w:tcW w:w="263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苫小牧市沼ノ端交流　　　　　　　　　　　　センター条例</w:t>
            </w:r>
          </w:p>
        </w:tc>
        <w:tc>
          <w:tcPr>
            <w:tcW w:w="11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第12条　　　第2項</w:t>
            </w:r>
          </w:p>
        </w:tc>
        <w:tc>
          <w:tcPr>
            <w:tcW w:w="4209" w:type="dxa"/>
            <w:vAlign w:val="center"/>
          </w:tcPr>
          <w:p>
            <w:pPr>
              <w:spacing w:before="100" w:beforeAutospacing="1" w:after="100" w:afterAutospacing="1"/>
              <w:ind w:left="210" w:hanging="210" w:hangingChars="100"/>
              <w:jc w:val="left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・使用許可及びその取消し等に関する業務</w:t>
            </w:r>
          </w:p>
        </w:tc>
        <w:tc>
          <w:tcPr>
            <w:tcW w:w="118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利用基準</w:t>
            </w:r>
          </w:p>
        </w:tc>
        <w:tc>
          <w:tcPr>
            <w:tcW w:w="165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1日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tblCellSpacing w:w="15" w:type="dxa"/>
        </w:trPr>
        <w:tc>
          <w:tcPr>
            <w:tcW w:w="2631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苫小牧市児童館条例</w:t>
            </w:r>
          </w:p>
        </w:tc>
        <w:tc>
          <w:tcPr>
            <w:tcW w:w="1120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第13条　　　第1項　　第3項　　第4項</w:t>
            </w:r>
          </w:p>
        </w:tc>
        <w:tc>
          <w:tcPr>
            <w:tcW w:w="4209" w:type="dxa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</w:pPr>
            <w:r>
              <w:rPr>
                <w:rFonts w:hint="eastAsia"/>
              </w:rPr>
              <w:t>・料金の収受　　　　　　　　　　　　　　　　　　　　　</w:t>
            </w:r>
          </w:p>
        </w:tc>
        <w:tc>
          <w:tcPr>
            <w:tcW w:w="1181" w:type="dxa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1日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CellSpacing w:w="15" w:type="dxa"/>
        </w:trPr>
        <w:tc>
          <w:tcPr>
            <w:tcW w:w="263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</w:pPr>
            <w:r>
              <w:rPr>
                <w:rFonts w:hint="eastAsia"/>
              </w:rPr>
              <w:t>・利用料金額の決定行為</w:t>
            </w:r>
          </w:p>
        </w:tc>
        <w:tc>
          <w:tcPr>
            <w:tcW w:w="1181" w:type="dxa"/>
            <w:tcBorders>
              <w:top w:val="nil"/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  <w:r>
              <w:rPr>
                <w:rFonts w:hint="eastAsia" w:ascii="ＭＳ Ｐゴシック" w:hAnsi="ＭＳ Ｐゴシック" w:eastAsia="ＭＳ Ｐゴシック" w:cs="ＭＳ Ｐゴシック"/>
                <w:kern w:val="0"/>
                <w:sz w:val="24"/>
                <w:szCs w:val="24"/>
              </w:rPr>
              <w:t>利用基準</w:t>
            </w:r>
          </w:p>
        </w:tc>
        <w:tc>
          <w:tcPr>
            <w:tcW w:w="1651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" w:hRule="atLeast"/>
          <w:tblCellSpacing w:w="15" w:type="dxa"/>
        </w:trPr>
        <w:tc>
          <w:tcPr>
            <w:tcW w:w="2631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</w:pPr>
            <w:r>
              <w:rPr>
                <w:rFonts w:hint="eastAsia"/>
              </w:rPr>
              <w:t>・利用料金の免除等の決定</w:t>
            </w:r>
          </w:p>
        </w:tc>
        <w:tc>
          <w:tcPr>
            <w:tcW w:w="1181" w:type="dxa"/>
            <w:tcBorders>
              <w:top w:val="nil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 w:val="continue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24"/>
                <w:szCs w:val="24"/>
              </w:rPr>
            </w:pPr>
          </w:p>
        </w:tc>
      </w:tr>
    </w:tbl>
    <w:p>
      <w:pPr>
        <w:ind w:firstLine="240" w:firstLineChars="100"/>
        <w:rPr>
          <w:rFonts w:cs="Generic1-Regular" w:asciiTheme="minorEastAsia" w:hAnsiTheme="minorEastAsia"/>
          <w:kern w:val="0"/>
          <w:sz w:val="24"/>
          <w:szCs w:val="72"/>
        </w:rPr>
      </w:pPr>
    </w:p>
    <w:p>
      <w:pPr>
        <w:ind w:firstLine="240" w:firstLineChars="100"/>
        <w:rPr>
          <w:rFonts w:hint="eastAsia" w:cs="Generic1-Regular" w:asciiTheme="minorEastAsia" w:hAnsiTheme="minorEastAsia"/>
          <w:kern w:val="0"/>
          <w:sz w:val="24"/>
          <w:szCs w:val="72"/>
        </w:rPr>
      </w:pPr>
    </w:p>
    <w:p>
      <w:pPr>
        <w:ind w:firstLine="240" w:firstLineChars="100"/>
        <w:rPr>
          <w:rFonts w:hint="eastAsia" w:cs="Generic1-Regular" w:asciiTheme="minorEastAsia" w:hAnsiTheme="minorEastAsia"/>
          <w:kern w:val="0"/>
          <w:sz w:val="24"/>
          <w:szCs w:val="72"/>
        </w:rPr>
      </w:pPr>
    </w:p>
    <w:p>
      <w:pPr>
        <w:ind w:firstLine="240" w:firstLineChars="100"/>
        <w:rPr>
          <w:rFonts w:hint="eastAsia" w:cs="Generic1-Regular" w:asciiTheme="minorEastAsia" w:hAnsiTheme="minorEastAsia"/>
          <w:kern w:val="0"/>
          <w:sz w:val="24"/>
          <w:szCs w:val="72"/>
        </w:rPr>
      </w:pPr>
    </w:p>
    <w:p>
      <w:pPr>
        <w:ind w:firstLine="240" w:firstLineChars="1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【利用基準】</w:t>
      </w:r>
    </w:p>
    <w:p>
      <w:pPr>
        <w:ind w:firstLine="480" w:firstLineChars="2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〇 貸館の利用ができるのは団体・個人の方です。</w:t>
      </w:r>
    </w:p>
    <w:p>
      <w:pPr>
        <w:ind w:firstLine="480" w:firstLineChars="2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〇 貸館の利用にあたり、以下の行為を禁止します</w:t>
      </w:r>
    </w:p>
    <w:p>
      <w:pPr>
        <w:ind w:firstLine="480" w:firstLineChars="2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　・公の秩序又は善良の風俗を乱す行為</w:t>
      </w:r>
    </w:p>
    <w:p>
      <w:pPr>
        <w:ind w:firstLine="480" w:firstLineChars="2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　・施設又は設備を損傷し、または滅失する行為</w:t>
      </w:r>
    </w:p>
    <w:p>
      <w:pPr>
        <w:ind w:firstLine="480" w:firstLineChars="2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　・目的外利用、虚偽申請</w:t>
      </w:r>
    </w:p>
    <w:p>
      <w:pPr>
        <w:ind w:firstLine="480" w:firstLineChars="2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　・同センターに相応しくない会議、集会等</w:t>
      </w:r>
    </w:p>
    <w:p>
      <w:pPr>
        <w:ind w:firstLine="480" w:firstLineChars="2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　・その他、施設の管理上支障がある行為、施設管理者が適当と認めない行為</w:t>
      </w:r>
    </w:p>
    <w:p>
      <w:pPr>
        <w:ind w:left="660" w:leftChars="200" w:hanging="240" w:hangingChars="1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〇 貸館使用料の免除について、以下のとおりとします。</w:t>
      </w:r>
      <w:r>
        <w:rPr>
          <w:rFonts w:hint="eastAsia"/>
          <w:color w:val="000000"/>
          <w:sz w:val="24"/>
        </w:rPr>
        <w:br w:type="textWrapping"/>
      </w:r>
      <w:r>
        <w:rPr>
          <w:rFonts w:hint="eastAsia"/>
          <w:color w:val="000000"/>
          <w:sz w:val="24"/>
        </w:rPr>
        <w:t>・苫小牧市沼ノ端交流センター条例に規定されている子ども会</w:t>
      </w:r>
      <w:r>
        <w:rPr>
          <w:rFonts w:hint="eastAsia"/>
          <w:color w:val="000000"/>
          <w:sz w:val="24"/>
        </w:rPr>
        <w:br w:type="textWrapping"/>
      </w:r>
      <w:r>
        <w:rPr>
          <w:rFonts w:hint="eastAsia"/>
          <w:color w:val="000000"/>
          <w:sz w:val="24"/>
        </w:rPr>
        <w:t>・母親クラブ等の地域組織活動の育成団体</w:t>
      </w:r>
    </w:p>
    <w:p>
      <w:pPr>
        <w:ind w:left="630" w:leftChars="3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・町内</w:t>
      </w:r>
      <w:r>
        <w:rPr>
          <w:rFonts w:hint="eastAsia"/>
          <w:color w:val="000000"/>
          <w:sz w:val="24"/>
          <w:lang w:eastAsia="ja-JP"/>
        </w:rPr>
        <w:t>会館</w:t>
      </w:r>
      <w:bookmarkStart w:id="0" w:name="_GoBack"/>
      <w:bookmarkEnd w:id="0"/>
      <w:r>
        <w:rPr>
          <w:rFonts w:hint="eastAsia"/>
          <w:color w:val="000000"/>
          <w:sz w:val="24"/>
        </w:rPr>
        <w:t>を持たない町内会が総会、役員会、敬老会を行う場合</w:t>
      </w:r>
    </w:p>
    <w:p>
      <w:pPr>
        <w:ind w:left="630" w:leftChars="300"/>
        <w:rPr>
          <w:rFonts w:cs="Generic1-Regular" w:asciiTheme="minorEastAsia" w:hAnsiTheme="minorEastAsia"/>
          <w:kern w:val="0"/>
          <w:sz w:val="32"/>
          <w:szCs w:val="72"/>
        </w:rPr>
      </w:pPr>
      <w:r>
        <w:rPr>
          <w:rFonts w:hint="eastAsia"/>
          <w:color w:val="000000"/>
          <w:sz w:val="24"/>
        </w:rPr>
        <w:t>・その他、指定管理者が公益上特に必要と認めた場合</w:t>
      </w:r>
      <w:r>
        <w:rPr>
          <w:rFonts w:hint="eastAsia"/>
          <w:color w:val="000000"/>
          <w:sz w:val="24"/>
        </w:rPr>
        <w:br w:type="textWrapping"/>
      </w:r>
      <w:r>
        <w:rPr>
          <w:rFonts w:hint="eastAsia"/>
          <w:color w:val="000000"/>
          <w:sz w:val="24"/>
        </w:rPr>
        <w:t>　※ これらの団体の使用については貸館利用料は必要ありません。</w:t>
      </w:r>
    </w:p>
    <w:p>
      <w:pPr>
        <w:ind w:left="780" w:leftChars="200" w:hanging="360" w:hangingChars="15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〇 貸館を利用するには、指定する申請書に必要事項を記入し、同館に提出しなければならない。なお、その際には貸館利用料金を前納することを基本原則とする。</w:t>
      </w:r>
    </w:p>
    <w:p>
      <w:pPr>
        <w:pStyle w:val="10"/>
        <w:numPr>
          <w:ilvl w:val="0"/>
          <w:numId w:val="2"/>
        </w:numPr>
        <w:ind w:leftChars="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窓口及び電話での仮予約は応じないものとしております。</w:t>
      </w:r>
    </w:p>
    <w:p>
      <w:pPr>
        <w:ind w:firstLine="240" w:firstLineChars="100"/>
        <w:rPr>
          <w:rFonts w:cs="Generic1-Regular" w:asciiTheme="minorEastAsia" w:hAnsiTheme="minorEastAsia"/>
          <w:kern w:val="0"/>
          <w:sz w:val="24"/>
          <w:szCs w:val="72"/>
        </w:rPr>
      </w:pPr>
    </w:p>
    <w:p>
      <w:pPr>
        <w:ind w:firstLine="240" w:firstLineChars="1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【処分基準】</w:t>
      </w:r>
    </w:p>
    <w:p>
      <w:pPr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　　〇 施設の管理上支障があるときは、使用の許可は出来ません。また、既に許可している場合で</w:t>
      </w:r>
    </w:p>
    <w:p>
      <w:pPr>
        <w:ind w:firstLine="840" w:firstLineChars="35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も、次の場合は許可の取り消しまたは以降の利用を制限いたします。</w:t>
      </w:r>
    </w:p>
    <w:p>
      <w:pPr>
        <w:ind w:firstLine="480" w:firstLineChars="2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　・利用基準の条件を満たさないまたは順守していない場合</w:t>
      </w:r>
    </w:p>
    <w:p>
      <w:pPr>
        <w:ind w:firstLine="480" w:firstLineChars="2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　・目的外利用、虚偽申請が申請後に明らかになった場合</w:t>
      </w:r>
    </w:p>
    <w:p>
      <w:pPr>
        <w:ind w:firstLine="480" w:firstLineChars="200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　・施設管理者の指示に従わない場合</w:t>
      </w:r>
    </w:p>
    <w:p>
      <w:pPr>
        <w:spacing w:line="276" w:lineRule="auto"/>
        <w:jc w:val="right"/>
        <w:rPr>
          <w:rFonts w:cs="Generic1-Regular" w:asciiTheme="minorEastAsia" w:hAnsiTheme="minorEastAsia"/>
          <w:kern w:val="0"/>
          <w:sz w:val="24"/>
          <w:szCs w:val="72"/>
        </w:rPr>
      </w:pPr>
    </w:p>
    <w:p>
      <w:pPr>
        <w:spacing w:line="276" w:lineRule="auto"/>
        <w:jc w:val="right"/>
        <w:rPr>
          <w:rFonts w:cs="Generic1-Regular" w:asciiTheme="minorEastAsia" w:hAnsiTheme="minorEastAsia"/>
          <w:kern w:val="0"/>
          <w:sz w:val="24"/>
          <w:szCs w:val="72"/>
        </w:rPr>
      </w:pPr>
    </w:p>
    <w:p>
      <w:pPr>
        <w:spacing w:line="276" w:lineRule="auto"/>
        <w:jc w:val="right"/>
        <w:rPr>
          <w:rFonts w:cs="Generic1-Regular" w:asciiTheme="minorEastAsia" w:hAnsiTheme="minorEastAsia"/>
          <w:kern w:val="0"/>
          <w:sz w:val="24"/>
          <w:szCs w:val="72"/>
        </w:rPr>
      </w:pPr>
    </w:p>
    <w:p>
      <w:pPr>
        <w:spacing w:line="276" w:lineRule="auto"/>
        <w:jc w:val="right"/>
        <w:rPr>
          <w:rFonts w:cs="Generic1-Regular" w:asciiTheme="minorEastAsia" w:hAnsiTheme="minorEastAsia"/>
          <w:kern w:val="0"/>
          <w:sz w:val="24"/>
          <w:szCs w:val="72"/>
        </w:rPr>
      </w:pPr>
      <w:r>
        <w:rPr>
          <w:rFonts w:hint="eastAsia" w:cs="Generic1-Regular" w:asciiTheme="minorEastAsia" w:hAnsiTheme="minorEastAsia"/>
          <w:kern w:val="0"/>
          <w:sz w:val="24"/>
          <w:szCs w:val="72"/>
        </w:rPr>
        <w:t>苫小牧市沼ノ端交流センター（北栄児童センター）指定管理者</w:t>
      </w:r>
    </w:p>
    <w:p>
      <w:pPr>
        <w:spacing w:line="276" w:lineRule="auto"/>
        <w:jc w:val="right"/>
        <w:rPr>
          <w:rFonts w:ascii="Century" w:hAnsi="Century"/>
          <w:sz w:val="24"/>
        </w:rPr>
      </w:pPr>
      <w:r>
        <w:rPr>
          <w:rFonts w:hint="eastAsia"/>
          <w:sz w:val="24"/>
        </w:rPr>
        <w:t>シダックス大新東ヒューマンサービス株式会社</w:t>
      </w:r>
    </w:p>
    <w:p>
      <w:pPr>
        <w:wordWrap w:val="0"/>
        <w:spacing w:line="276" w:lineRule="auto"/>
        <w:jc w:val="right"/>
        <w:rPr>
          <w:rFonts w:cs="Generic1-Regular" w:asciiTheme="minorEastAsia" w:hAnsiTheme="minorEastAsia"/>
          <w:kern w:val="0"/>
          <w:sz w:val="24"/>
          <w:szCs w:val="72"/>
        </w:rPr>
      </w:pPr>
    </w:p>
    <w:sectPr>
      <w:pgSz w:w="11906" w:h="16838"/>
      <w:pgMar w:top="510" w:right="720" w:bottom="720" w:left="51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Generic1-Regular">
    <w:altName w:val="游明朝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modern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E9E"/>
    <w:multiLevelType w:val="multilevel"/>
    <w:tmpl w:val="15730E9E"/>
    <w:lvl w:ilvl="0" w:tentative="0">
      <w:start w:val="13"/>
      <w:numFmt w:val="bullet"/>
      <w:lvlText w:val="※"/>
      <w:lvlJc w:val="left"/>
      <w:pPr>
        <w:ind w:left="1260" w:hanging="360"/>
      </w:pPr>
      <w:rPr>
        <w:rFonts w:hint="eastAsia" w:ascii="ＭＳ 明朝" w:hAnsi="ＭＳ 明朝" w:eastAsia="ＭＳ 明朝" w:cs="Generic1-Regular"/>
      </w:rPr>
    </w:lvl>
    <w:lvl w:ilvl="1" w:tentative="0">
      <w:start w:val="1"/>
      <w:numFmt w:val="bullet"/>
      <w:lvlText w:val=""/>
      <w:lvlJc w:val="left"/>
      <w:pPr>
        <w:ind w:left="17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21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30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34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42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4680" w:hanging="420"/>
      </w:pPr>
      <w:rPr>
        <w:rFonts w:hint="default" w:ascii="Wingdings" w:hAnsi="Wingdings"/>
      </w:rPr>
    </w:lvl>
  </w:abstractNum>
  <w:abstractNum w:abstractNumId="1">
    <w:nsid w:val="1E170FCE"/>
    <w:multiLevelType w:val="multilevel"/>
    <w:tmpl w:val="1E170FCE"/>
    <w:lvl w:ilvl="0" w:tentative="0">
      <w:start w:val="13"/>
      <w:numFmt w:val="bullet"/>
      <w:lvlText w:val="◎"/>
      <w:lvlJc w:val="left"/>
      <w:pPr>
        <w:ind w:left="360" w:hanging="360"/>
      </w:pPr>
      <w:rPr>
        <w:rFonts w:hint="eastAsia" w:ascii="ＭＳ 明朝" w:hAnsi="ＭＳ 明朝" w:eastAsia="ＭＳ 明朝" w:cstheme="minorBidi"/>
        <w:color w:val="000000"/>
        <w:sz w:val="21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F"/>
    <w:rsid w:val="00390D07"/>
    <w:rsid w:val="00441978"/>
    <w:rsid w:val="00455E62"/>
    <w:rsid w:val="00466509"/>
    <w:rsid w:val="005354B0"/>
    <w:rsid w:val="005B307E"/>
    <w:rsid w:val="0066227F"/>
    <w:rsid w:val="006E08D6"/>
    <w:rsid w:val="007C4C7E"/>
    <w:rsid w:val="008C77C2"/>
    <w:rsid w:val="00A32E6F"/>
    <w:rsid w:val="00AA1FDA"/>
    <w:rsid w:val="00AB67CF"/>
    <w:rsid w:val="00B52221"/>
    <w:rsid w:val="00CD1236"/>
    <w:rsid w:val="00CE6835"/>
    <w:rsid w:val="00E906A4"/>
    <w:rsid w:val="00F22737"/>
    <w:rsid w:val="00F770F9"/>
    <w:rsid w:val="057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1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7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character" w:customStyle="1" w:styleId="8">
    <w:name w:val="cm"/>
    <w:basedOn w:val="5"/>
    <w:uiPriority w:val="0"/>
  </w:style>
  <w:style w:type="character" w:customStyle="1" w:styleId="9">
    <w:name w:val="hit-item1"/>
    <w:basedOn w:val="5"/>
    <w:uiPriority w:val="0"/>
  </w:style>
  <w:style w:type="paragraph" w:styleId="10">
    <w:name w:val="List Paragraph"/>
    <w:basedOn w:val="1"/>
    <w:qFormat/>
    <w:uiPriority w:val="34"/>
    <w:pPr>
      <w:ind w:left="840" w:leftChars="400"/>
    </w:pPr>
  </w:style>
  <w:style w:type="character" w:customStyle="1" w:styleId="11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2">
    <w:name w:val="ヘッダー (文字)"/>
    <w:basedOn w:val="5"/>
    <w:link w:val="4"/>
    <w:qFormat/>
    <w:uiPriority w:val="99"/>
  </w:style>
  <w:style w:type="character" w:customStyle="1" w:styleId="13">
    <w:name w:val="フッター (文字)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C7D5079</Template>
  <Company>苫小牧市</Company>
  <Pages>2</Pages>
  <Words>248</Words>
  <Characters>1418</Characters>
  <Lines>11</Lines>
  <Paragraphs>3</Paragraphs>
  <TotalTime>357</TotalTime>
  <ScaleCrop>false</ScaleCrop>
  <LinksUpToDate>false</LinksUpToDate>
  <CharactersWithSpaces>1663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2020-02-20T02:11:00Z</dcterms:created>
  <dc:creator>白崎　和城</dc:creator>
  <cp:lastModifiedBy>現場用マスタPC</cp:lastModifiedBy>
  <cp:lastPrinted>2020-02-20T06:37:00Z</cp:lastPrinted>
  <dcterms:modified xsi:type="dcterms:W3CDTF">2021-09-15T01:52:16Z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